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Set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Toro Toro - Grosvenor House - Dubai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14.03 x 8.5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2026-05-25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Cardapio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Platinum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Toro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Toro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Grosvenor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House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Hotel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Dubai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UAE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/>
          <w:strike w:val="0"/>
          <w:sz w:val="20"/>
          <w:u w:val="none"/>
        </w:rPr>
        <w:t>January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2026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Cardapio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Platinum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Sharing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Style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COLD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STARTERS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HUACHINANGO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F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sea bass / leche de tigre / cancha / red onion / sweet potato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BURRATA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TN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grilled peach / cascabel maple syrup dressing / walnut / basil / cherry tomato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STARTERS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YAKITORI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togarashi huancaína, chimichurri, yuzu furikake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CRISPY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PRAWNS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panko-breaded prawns / melcocha sauce / arugula / mango / red chili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MUSHROOM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COCA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V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sautéed wild mushroom / arugula / goat cheese / truffle oil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MAIN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COURSE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BEEF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RIBEYE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BLACK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F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SY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TN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taro purée / shiitake crumble / miso / yuzu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SWEET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POTATO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FRIES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V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chipotle aioli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DESSERT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TORO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TRES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LECHES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TN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V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passion fruit sorbet / whipped mango / red currant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“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welcome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enquiries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from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customers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who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wish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know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whether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any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dishes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contain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particular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ingredients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Please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inform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your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order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taker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of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any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allergy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special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dietary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requirements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that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should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made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aware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of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when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preparing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your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menu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request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”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“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Consumption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of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raw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undercooked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meat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seafood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poultry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products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such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eggs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increase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your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risk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of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food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borne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illness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Written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further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information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available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upon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request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”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C celery | D dairy | E egg | F fish | G gluten | L lupin | M mustard | S shellfish | P pork | V vegetarian | TN tree nuts | PN peanuts | SY soybeans | SL sulphites | SS sesame seeds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