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Restaurant Week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 x 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2026-06-04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Prix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Fix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1 </w:t>
      </w:r>
      <w:r>
        <w:rPr>
          <w:rFonts w:ascii="Calibri" w:hAnsi="Calibri"/>
          <w:b/>
          <w:i w:val="0"/>
          <w:strike w:val="0"/>
          <w:sz w:val="20"/>
          <w:u w:val="none"/>
        </w:rPr>
        <w:t>Appetizer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corn masa sope, black bean purée, queso fresco, avocado, morita honey salsa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2 </w:t>
      </w:r>
      <w:r>
        <w:rPr>
          <w:rFonts w:ascii="Calibri" w:hAnsi="Calibri"/>
          <w:b/>
          <w:i w:val="0"/>
          <w:strike w:val="0"/>
          <w:sz w:val="20"/>
          <w:u w:val="none"/>
        </w:rPr>
        <w:t>Entrees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Mahi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pepita tahini purée,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mexicano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jocoque yogurt, pickled red onion, salsa macha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3 </w:t>
      </w: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Arroz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rice foam, rice pudding, cinnamon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60PP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