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PREMIUM WINE MENU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Maya - Le Royal Meridien - Dubai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Digital: 1920 x 1080 pixels | Print: 1920 x 1080 inches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Landscape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2026-07-07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GROWER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CHAMPAGNES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Price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Meunier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Domaine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Nowack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"S.A.", Champagne,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1,450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Pinot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Noir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Meunier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– Tarlant, "Zero Brut Nature", Champagne,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1,450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Pinot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Noir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Frédéric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Savart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"L'Ouverture", Champagne,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1,980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Pinot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Noir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Meunier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– Henriot, Champagne,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3,500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WHITE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WINE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Price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SauvignonBlanc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Biblia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Chora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Pangeon, Greece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600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GrünerVeltliner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New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Chapter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Traisental, Austria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900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Blancde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Blancs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Ksara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Bekaa Valley, Lebanon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Bienvenues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Bâtard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Montrachet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Grand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Cru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Burgundy,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8090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Catena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Alta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Mendoza, Argentina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Domaine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Buissonnier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Bourgogne Blanc, Côte Chalonnaise,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630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Dominique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Portet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Single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Vineyard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Yarra Valley, Australia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Crema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Sonoma County, USA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950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Marquis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Beys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Domaine des Tourelles, Lebanon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Warwick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"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The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White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Lady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"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Stellenbosch, South Africa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Chardonnay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Sauvignon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Rossj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Bass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Gaja, Langhe, Piedmont,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2070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CheninBlanc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Vouvray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Marc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Brédif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Loire Valley,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GrenacheBlanc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Clairette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Châteauneuf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du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Pape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Château Mont-Redon,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1,050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SauvignonBlanc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Terlano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Quarz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ROSÉ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Carménère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Syrah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VIK "La Piu Belle", Millahue, Chile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650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Grenache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Cinsault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Syrah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– Château de l'Aumérade,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Grenache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Cinsault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Syrah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Selle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Domaine Ott, Provence,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Grenache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Cinsault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Syrah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Minuty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Provence, France (Magnum)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Price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Ksara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Lebanon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Franc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– Ca'Marcanda, Gaja, Bolgheri,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4050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Malbec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Art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Series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Leeuwin Estate, Australia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1440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Lafite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Rothschild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2001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Pauillac,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16000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Petit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Verdot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Ksara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Rouge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Lebanon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950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Corvina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Rondinella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Oseleta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Dal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Forno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Amarone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della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Valpolicella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Italy (Magnum)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15000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Nebbiolo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Vigna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Rionda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Riserva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Barolo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Masolino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Piedmont,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2,520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Nebbiolo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Barbera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Sito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Moresco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Gaja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Langhe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Piedmont,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1,500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PinotNoir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Crema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Sonoma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County, USA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1,100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PinotNoir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Super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Nanny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Central Otago, New Zealand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1,100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Sangiovese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Sugarille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Brunello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Montalcino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Gaja, Tuscany,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4,270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TintaRoriz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Quinta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Cabriz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Beiras, Portugal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Shiraz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Syrah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Max's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Penfolds, Australia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Nebbiolo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Gaja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Barbaresco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Piedmont, Italy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5,030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Garnacha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Álvaro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Palacios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Les Terrasses, Spain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1,200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Lynch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Bages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1986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7,000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CabernetSauvignon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Merlot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–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Château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Haut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Brion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1999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France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12,000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PRICES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(</w:t>
      </w:r>
      <w:r>
        <w:rPr>
          <w:rFonts w:ascii="Calibri" w:hAnsi="Calibri"/>
          <w:b/>
          <w:i w:val="0"/>
          <w:strike w:val="0"/>
          <w:sz w:val="20"/>
          <w:u w:val="none"/>
        </w:rPr>
        <w:t>UAE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DIRHAMS</w:t>
      </w:r>
      <w:r>
        <w:rPr>
          <w:rFonts w:ascii="Calibri" w:hAnsi="Calibri"/>
          <w:b/>
          <w:i w:val="0"/>
          <w:strike w:val="0"/>
          <w:sz w:val="20"/>
          <w:u w:val="none"/>
        </w:rPr>
        <w:t>)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INCLUSIVE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7</w:t>
      </w:r>
      <w:r>
        <w:rPr>
          <w:rFonts w:ascii="Calibri" w:hAnsi="Calibri"/>
          <w:b/>
          <w:i w:val="0"/>
          <w:strike w:val="0"/>
          <w:sz w:val="20"/>
          <w:u w:val="none"/>
        </w:rPr>
        <w:t>%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MUNICIPALITY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FEES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10</w:t>
      </w:r>
      <w:r>
        <w:rPr>
          <w:rFonts w:ascii="Calibri" w:hAnsi="Calibri"/>
          <w:b/>
          <w:i w:val="0"/>
          <w:strike w:val="0"/>
          <w:sz w:val="20"/>
          <w:u w:val="none"/>
        </w:rPr>
        <w:t>%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SERVICE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CHARGE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5</w:t>
      </w:r>
      <w:r>
        <w:rPr>
          <w:rFonts w:ascii="Calibri" w:hAnsi="Calibri"/>
          <w:b/>
          <w:i w:val="0"/>
          <w:strike w:val="0"/>
          <w:sz w:val="20"/>
          <w:u w:val="none"/>
        </w:rPr>
        <w:t>%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VAT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